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C0C3" w14:textId="5D760456" w:rsidR="000E3395" w:rsidRDefault="000E3395">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13914218" wp14:editId="37C9DA91">
                <wp:simplePos x="0" y="0"/>
                <wp:positionH relativeFrom="margin">
                  <wp:align>left</wp:align>
                </wp:positionH>
                <wp:positionV relativeFrom="paragraph">
                  <wp:posOffset>-205740</wp:posOffset>
                </wp:positionV>
                <wp:extent cx="5715000" cy="6019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5715000" cy="601980"/>
                        </a:xfrm>
                        <a:prstGeom prst="rect">
                          <a:avLst/>
                        </a:prstGeom>
                        <a:solidFill>
                          <a:srgbClr val="FF09D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D2B73A" w14:textId="77777777" w:rsidR="000E3395" w:rsidRPr="000E3395" w:rsidRDefault="000E3395" w:rsidP="000E3395">
                            <w:pPr>
                              <w:rPr>
                                <w:sz w:val="32"/>
                                <w:szCs w:val="32"/>
                              </w:rPr>
                            </w:pPr>
                            <w:r w:rsidRPr="000E3395">
                              <w:rPr>
                                <w:sz w:val="32"/>
                                <w:szCs w:val="32"/>
                              </w:rPr>
                              <w:t>Wigan Borough Healthwatch CIC Financial Reserves Policy</w:t>
                            </w:r>
                          </w:p>
                          <w:p w14:paraId="0F6BDB54" w14:textId="77777777" w:rsidR="000E3395" w:rsidRDefault="000E3395" w:rsidP="000E3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4218" id="Rectangle 2" o:spid="_x0000_s1026" style="position:absolute;margin-left:0;margin-top:-16.2pt;width:450pt;height:4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" fillcolor="#ff09d6" strokecolor="#1f3763 [1604]" strokeweight="1pt">
                <v:textbox>
                  <w:txbxContent>
                    <w:p w14:paraId="55D2B73A" w14:textId="77777777" w:rsidR="000E3395" w:rsidRPr="000E3395" w:rsidRDefault="000E3395" w:rsidP="000E3395">
                      <w:pPr>
                        <w:rPr>
                          <w:sz w:val="32"/>
                          <w:szCs w:val="32"/>
                        </w:rPr>
                      </w:pPr>
                      <w:r w:rsidRPr="000E3395">
                        <w:rPr>
                          <w:sz w:val="32"/>
                          <w:szCs w:val="32"/>
                        </w:rPr>
                        <w:t>Wigan Borough Healthwatch CIC Financial Reserves Policy</w:t>
                      </w:r>
                    </w:p>
                    <w:p w14:paraId="0F6BDB54" w14:textId="77777777" w:rsidR="000E3395" w:rsidRDefault="000E3395" w:rsidP="000E3395">
                      <w:pPr>
                        <w:jc w:val="center"/>
                      </w:pPr>
                    </w:p>
                  </w:txbxContent>
                </v:textbox>
                <w10:wrap anchorx="margin"/>
              </v:rect>
            </w:pict>
          </mc:Fallback>
        </mc:AlternateContent>
      </w:r>
    </w:p>
    <w:p w14:paraId="7DA4BA2D" w14:textId="3739F421" w:rsidR="000E3395" w:rsidRDefault="000E3395">
      <w:pPr>
        <w:rPr>
          <w:sz w:val="28"/>
          <w:szCs w:val="28"/>
        </w:rPr>
      </w:pPr>
    </w:p>
    <w:p w14:paraId="714AA8B8" w14:textId="455771C7" w:rsidR="000E3395" w:rsidRDefault="00234368">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7D3CC321" wp14:editId="46B4A653">
                <wp:simplePos x="0" y="0"/>
                <wp:positionH relativeFrom="margin">
                  <wp:align>left</wp:align>
                </wp:positionH>
                <wp:positionV relativeFrom="paragraph">
                  <wp:posOffset>6350</wp:posOffset>
                </wp:positionV>
                <wp:extent cx="5715000" cy="18745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5715000" cy="187452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1199B" w14:textId="77777777" w:rsidR="000E3395" w:rsidRDefault="000E3395" w:rsidP="000E3395">
                            <w:pPr>
                              <w:rPr>
                                <w:sz w:val="28"/>
                                <w:szCs w:val="28"/>
                              </w:rPr>
                            </w:pPr>
                          </w:p>
                          <w:p w14:paraId="219ACB2C" w14:textId="68803A3B" w:rsidR="000E3395" w:rsidRPr="00BF5161" w:rsidRDefault="000E3395" w:rsidP="000E3395">
                            <w:pPr>
                              <w:rPr>
                                <w:sz w:val="28"/>
                                <w:szCs w:val="28"/>
                              </w:rPr>
                            </w:pPr>
                            <w:r w:rsidRPr="00234368">
                              <w:rPr>
                                <w:sz w:val="28"/>
                                <w:szCs w:val="28"/>
                              </w:rPr>
                              <w:t xml:space="preserve">Policy detailing the </w:t>
                            </w:r>
                            <w:proofErr w:type="gramStart"/>
                            <w:r w:rsidRPr="00234368">
                              <w:rPr>
                                <w:sz w:val="28"/>
                                <w:szCs w:val="28"/>
                              </w:rPr>
                              <w:t>amount</w:t>
                            </w:r>
                            <w:proofErr w:type="gramEnd"/>
                            <w:r w:rsidRPr="00234368">
                              <w:rPr>
                                <w:sz w:val="28"/>
                                <w:szCs w:val="28"/>
                              </w:rPr>
                              <w:t xml:space="preserve"> of reserves that will be maintained to enable Wigan Borough Healthwatch CIC to meet its obligations in terms of outstanding pay, statutory redundancy payments</w:t>
                            </w:r>
                            <w:r w:rsidRPr="00BF5161">
                              <w:rPr>
                                <w:sz w:val="28"/>
                                <w:szCs w:val="28"/>
                              </w:rPr>
                              <w:t xml:space="preserve"> and any other liabilities in respect of contracted services and leased premises</w:t>
                            </w:r>
                          </w:p>
                          <w:p w14:paraId="7905BCBD" w14:textId="77777777" w:rsidR="000E3395" w:rsidRDefault="000E3395" w:rsidP="000E3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C321" id="Rectangle 1" o:spid="_x0000_s1027" style="position:absolute;margin-left:0;margin-top:.5pt;width:450pt;height:14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" fillcolor="#2e74b5 [2408]" strokecolor="#1f3763 [1604]" strokeweight="1pt">
                <v:textbox>
                  <w:txbxContent>
                    <w:p w14:paraId="7C41199B" w14:textId="77777777" w:rsidR="000E3395" w:rsidRDefault="000E3395" w:rsidP="000E3395">
                      <w:pPr>
                        <w:rPr>
                          <w:sz w:val="28"/>
                          <w:szCs w:val="28"/>
                        </w:rPr>
                      </w:pPr>
                    </w:p>
                    <w:p w14:paraId="219ACB2C" w14:textId="68803A3B" w:rsidR="000E3395" w:rsidRPr="00BF5161" w:rsidRDefault="000E3395" w:rsidP="000E3395">
                      <w:pPr>
                        <w:rPr>
                          <w:sz w:val="28"/>
                          <w:szCs w:val="28"/>
                        </w:rPr>
                      </w:pPr>
                      <w:r w:rsidRPr="00234368">
                        <w:rPr>
                          <w:sz w:val="28"/>
                          <w:szCs w:val="28"/>
                        </w:rPr>
                        <w:t xml:space="preserve">Policy detailing the </w:t>
                      </w:r>
                      <w:proofErr w:type="gramStart"/>
                      <w:r w:rsidRPr="00234368">
                        <w:rPr>
                          <w:sz w:val="28"/>
                          <w:szCs w:val="28"/>
                        </w:rPr>
                        <w:t>amount</w:t>
                      </w:r>
                      <w:proofErr w:type="gramEnd"/>
                      <w:r w:rsidRPr="00234368">
                        <w:rPr>
                          <w:sz w:val="28"/>
                          <w:szCs w:val="28"/>
                        </w:rPr>
                        <w:t xml:space="preserve"> of reserves that will be maintained to enable Wigan Borough Healthwatch CIC to meet its obligations in terms of outstanding pay, statutory redundancy payments</w:t>
                      </w:r>
                      <w:r w:rsidRPr="00BF5161">
                        <w:rPr>
                          <w:sz w:val="28"/>
                          <w:szCs w:val="28"/>
                        </w:rPr>
                        <w:t xml:space="preserve"> and any other liabilities in respect of contracted services and leased premises</w:t>
                      </w:r>
                    </w:p>
                    <w:p w14:paraId="7905BCBD" w14:textId="77777777" w:rsidR="000E3395" w:rsidRDefault="000E3395" w:rsidP="000E3395">
                      <w:pPr>
                        <w:jc w:val="center"/>
                      </w:pPr>
                    </w:p>
                  </w:txbxContent>
                </v:textbox>
                <w10:wrap anchorx="margin"/>
              </v:rect>
            </w:pict>
          </mc:Fallback>
        </mc:AlternateContent>
      </w:r>
    </w:p>
    <w:p w14:paraId="20E033D9" w14:textId="5431C873" w:rsidR="000E3395" w:rsidRDefault="000E3395">
      <w:pPr>
        <w:rPr>
          <w:sz w:val="28"/>
          <w:szCs w:val="28"/>
        </w:rPr>
      </w:pPr>
    </w:p>
    <w:p w14:paraId="14E3BB99" w14:textId="7FA08B8F" w:rsidR="000E3395" w:rsidRDefault="000E3395">
      <w:pPr>
        <w:rPr>
          <w:sz w:val="28"/>
          <w:szCs w:val="28"/>
        </w:rPr>
      </w:pPr>
    </w:p>
    <w:p w14:paraId="4D16E8E1" w14:textId="02F0EA5E" w:rsidR="000E3395" w:rsidRDefault="000E3395">
      <w:pPr>
        <w:rPr>
          <w:sz w:val="28"/>
          <w:szCs w:val="28"/>
        </w:rPr>
      </w:pPr>
    </w:p>
    <w:p w14:paraId="6F5BB777" w14:textId="2C9A4D97" w:rsidR="000E3395" w:rsidRDefault="000E3395">
      <w:pPr>
        <w:rPr>
          <w:sz w:val="28"/>
          <w:szCs w:val="28"/>
        </w:rPr>
      </w:pPr>
    </w:p>
    <w:p w14:paraId="369F5FEA" w14:textId="77777777" w:rsidR="000E3395" w:rsidRDefault="000E3395">
      <w:pPr>
        <w:rPr>
          <w:sz w:val="28"/>
          <w:szCs w:val="28"/>
        </w:rPr>
      </w:pPr>
    </w:p>
    <w:p w14:paraId="0904269A" w14:textId="59D1BA49" w:rsidR="00BF5161" w:rsidRPr="008C589A" w:rsidRDefault="00BF5161">
      <w:pPr>
        <w:rPr>
          <w:b/>
          <w:bCs/>
          <w:color w:val="2E74B5" w:themeColor="accent5" w:themeShade="BF"/>
          <w:sz w:val="32"/>
          <w:szCs w:val="32"/>
        </w:rPr>
      </w:pPr>
      <w:r w:rsidRPr="008C589A">
        <w:rPr>
          <w:b/>
          <w:bCs/>
          <w:color w:val="2E74B5" w:themeColor="accent5" w:themeShade="BF"/>
          <w:sz w:val="32"/>
          <w:szCs w:val="32"/>
        </w:rPr>
        <w:t>Contents</w:t>
      </w:r>
    </w:p>
    <w:p w14:paraId="5DE45696" w14:textId="1BDAB10E" w:rsidR="00BF5161" w:rsidRPr="00BF5161" w:rsidRDefault="00BF5161">
      <w:pPr>
        <w:rPr>
          <w:sz w:val="28"/>
          <w:szCs w:val="28"/>
        </w:rPr>
      </w:pPr>
    </w:p>
    <w:p w14:paraId="2FC72387" w14:textId="429CD0F3" w:rsidR="00BF5161" w:rsidRPr="00BF5161" w:rsidRDefault="00BF5161">
      <w:pPr>
        <w:rPr>
          <w:sz w:val="28"/>
          <w:szCs w:val="28"/>
        </w:rPr>
      </w:pPr>
      <w:r w:rsidRPr="00BF5161">
        <w:rPr>
          <w:sz w:val="28"/>
          <w:szCs w:val="28"/>
        </w:rPr>
        <w:t>Document Version Control</w:t>
      </w:r>
      <w:r w:rsidR="008C589A">
        <w:rPr>
          <w:sz w:val="28"/>
          <w:szCs w:val="28"/>
        </w:rPr>
        <w:t xml:space="preserve"> ………………………………………………………………………</w:t>
      </w:r>
      <w:proofErr w:type="gramStart"/>
      <w:r w:rsidR="008C589A">
        <w:rPr>
          <w:sz w:val="28"/>
          <w:szCs w:val="28"/>
        </w:rPr>
        <w:t>…..</w:t>
      </w:r>
      <w:proofErr w:type="gramEnd"/>
      <w:r w:rsidR="008C589A">
        <w:rPr>
          <w:sz w:val="28"/>
          <w:szCs w:val="28"/>
        </w:rPr>
        <w:t xml:space="preserve"> 1</w:t>
      </w:r>
    </w:p>
    <w:p w14:paraId="382A080D" w14:textId="3C590019" w:rsidR="00BF5161" w:rsidRPr="00BF5161" w:rsidRDefault="00BF5161">
      <w:pPr>
        <w:rPr>
          <w:sz w:val="28"/>
          <w:szCs w:val="28"/>
        </w:rPr>
      </w:pPr>
      <w:r w:rsidRPr="00BF5161">
        <w:rPr>
          <w:sz w:val="28"/>
          <w:szCs w:val="28"/>
        </w:rPr>
        <w:t>Purpose</w:t>
      </w:r>
      <w:r w:rsidR="008C589A">
        <w:rPr>
          <w:sz w:val="28"/>
          <w:szCs w:val="28"/>
        </w:rPr>
        <w:t xml:space="preserve"> ……………………………………………………………………………………………………</w:t>
      </w:r>
      <w:proofErr w:type="gramStart"/>
      <w:r w:rsidR="008C589A">
        <w:rPr>
          <w:sz w:val="28"/>
          <w:szCs w:val="28"/>
        </w:rPr>
        <w:t>…..</w:t>
      </w:r>
      <w:proofErr w:type="gramEnd"/>
      <w:r w:rsidR="008C589A">
        <w:rPr>
          <w:sz w:val="28"/>
          <w:szCs w:val="28"/>
        </w:rPr>
        <w:t xml:space="preserve"> 2</w:t>
      </w:r>
    </w:p>
    <w:p w14:paraId="15DED8BC" w14:textId="6CF66AE1" w:rsidR="00BF5161" w:rsidRPr="00BF5161" w:rsidRDefault="00BF5161">
      <w:pPr>
        <w:rPr>
          <w:sz w:val="28"/>
          <w:szCs w:val="28"/>
        </w:rPr>
      </w:pPr>
      <w:r w:rsidRPr="00BF5161">
        <w:rPr>
          <w:sz w:val="28"/>
          <w:szCs w:val="28"/>
        </w:rPr>
        <w:t>Minimum Reserves and purpose</w:t>
      </w:r>
      <w:r w:rsidR="008C589A">
        <w:rPr>
          <w:sz w:val="28"/>
          <w:szCs w:val="28"/>
        </w:rPr>
        <w:t xml:space="preserve"> ………………………………………………………………….  2</w:t>
      </w:r>
    </w:p>
    <w:p w14:paraId="15A6318D" w14:textId="55EEC838" w:rsidR="00BF5161" w:rsidRPr="00BF5161" w:rsidRDefault="00BF5161">
      <w:pPr>
        <w:rPr>
          <w:sz w:val="28"/>
          <w:szCs w:val="28"/>
        </w:rPr>
      </w:pPr>
      <w:r w:rsidRPr="00BF5161">
        <w:rPr>
          <w:sz w:val="28"/>
          <w:szCs w:val="28"/>
        </w:rPr>
        <w:t xml:space="preserve">Redundancy </w:t>
      </w:r>
      <w:r w:rsidR="008C589A">
        <w:rPr>
          <w:sz w:val="28"/>
          <w:szCs w:val="28"/>
        </w:rPr>
        <w:t>…………………………………………………………………………………………………. 2</w:t>
      </w:r>
    </w:p>
    <w:p w14:paraId="04ABD253" w14:textId="1E7F3238" w:rsidR="00BF5161" w:rsidRPr="00BF5161" w:rsidRDefault="00BF5161">
      <w:pPr>
        <w:rPr>
          <w:sz w:val="28"/>
          <w:szCs w:val="28"/>
        </w:rPr>
      </w:pPr>
      <w:r w:rsidRPr="00BF5161">
        <w:rPr>
          <w:sz w:val="28"/>
          <w:szCs w:val="28"/>
        </w:rPr>
        <w:t>Reasonable cash flow</w:t>
      </w:r>
      <w:r w:rsidR="008C589A">
        <w:rPr>
          <w:sz w:val="28"/>
          <w:szCs w:val="28"/>
        </w:rPr>
        <w:t xml:space="preserve"> …………………………………………………………………………………… 3</w:t>
      </w:r>
    </w:p>
    <w:p w14:paraId="1011CDD4" w14:textId="6F52FAF7" w:rsidR="00BF5161" w:rsidRPr="00BF5161" w:rsidRDefault="00BF5161">
      <w:pPr>
        <w:rPr>
          <w:sz w:val="28"/>
          <w:szCs w:val="28"/>
        </w:rPr>
      </w:pPr>
      <w:r w:rsidRPr="00BF5161">
        <w:rPr>
          <w:sz w:val="28"/>
          <w:szCs w:val="28"/>
        </w:rPr>
        <w:t>Reporting</w:t>
      </w:r>
      <w:r w:rsidR="008C589A">
        <w:rPr>
          <w:sz w:val="28"/>
          <w:szCs w:val="28"/>
        </w:rPr>
        <w:t xml:space="preserve"> ……………………………………………………………………………………………………… 3</w:t>
      </w:r>
    </w:p>
    <w:p w14:paraId="36F74646" w14:textId="474FBCE0" w:rsidR="00BF5161" w:rsidRDefault="00BF5161"/>
    <w:p w14:paraId="590DC839" w14:textId="77777777" w:rsidR="00BF5161" w:rsidRDefault="00BF5161"/>
    <w:tbl>
      <w:tblPr>
        <w:tblStyle w:val="TableGrid"/>
        <w:tblW w:w="0" w:type="auto"/>
        <w:tblLook w:val="04A0" w:firstRow="1" w:lastRow="0" w:firstColumn="1" w:lastColumn="0" w:noHBand="0" w:noVBand="1"/>
      </w:tblPr>
      <w:tblGrid>
        <w:gridCol w:w="4508"/>
        <w:gridCol w:w="4508"/>
      </w:tblGrid>
      <w:tr w:rsidR="00BF5161" w14:paraId="2088BA3C" w14:textId="77777777" w:rsidTr="000E3395">
        <w:tc>
          <w:tcPr>
            <w:tcW w:w="9016" w:type="dxa"/>
            <w:gridSpan w:val="2"/>
            <w:shd w:val="clear" w:color="auto" w:fill="0070C0"/>
          </w:tcPr>
          <w:p w14:paraId="487DE360" w14:textId="16CE11CA" w:rsidR="00BF5161" w:rsidRPr="00BF5161" w:rsidRDefault="00BF5161">
            <w:pPr>
              <w:rPr>
                <w:sz w:val="28"/>
                <w:szCs w:val="28"/>
              </w:rPr>
            </w:pPr>
            <w:r w:rsidRPr="00BF5161">
              <w:rPr>
                <w:sz w:val="28"/>
                <w:szCs w:val="28"/>
              </w:rPr>
              <w:t>Document Version Control</w:t>
            </w:r>
          </w:p>
        </w:tc>
      </w:tr>
      <w:tr w:rsidR="00BF5161" w14:paraId="1803F7D1" w14:textId="77777777" w:rsidTr="00BF5161">
        <w:tc>
          <w:tcPr>
            <w:tcW w:w="4508" w:type="dxa"/>
          </w:tcPr>
          <w:p w14:paraId="385D59E7" w14:textId="1EB927E1" w:rsidR="00BF5161" w:rsidRPr="00D365C4" w:rsidRDefault="00BF5161">
            <w:pPr>
              <w:rPr>
                <w:sz w:val="24"/>
                <w:szCs w:val="24"/>
              </w:rPr>
            </w:pPr>
            <w:r w:rsidRPr="00D365C4">
              <w:rPr>
                <w:sz w:val="24"/>
                <w:szCs w:val="24"/>
              </w:rPr>
              <w:t>Version</w:t>
            </w:r>
          </w:p>
        </w:tc>
        <w:tc>
          <w:tcPr>
            <w:tcW w:w="4508" w:type="dxa"/>
          </w:tcPr>
          <w:p w14:paraId="704EBF0B" w14:textId="586A3FD6" w:rsidR="00BF5161" w:rsidRPr="00D365C4" w:rsidRDefault="000E3395">
            <w:pPr>
              <w:rPr>
                <w:sz w:val="24"/>
                <w:szCs w:val="24"/>
              </w:rPr>
            </w:pPr>
            <w:r w:rsidRPr="00D365C4">
              <w:rPr>
                <w:sz w:val="24"/>
                <w:szCs w:val="24"/>
              </w:rPr>
              <w:t>1.0</w:t>
            </w:r>
          </w:p>
        </w:tc>
      </w:tr>
      <w:tr w:rsidR="00BF5161" w14:paraId="5F97FC98" w14:textId="77777777" w:rsidTr="00BF5161">
        <w:tc>
          <w:tcPr>
            <w:tcW w:w="4508" w:type="dxa"/>
          </w:tcPr>
          <w:p w14:paraId="6B46D947" w14:textId="0521495E" w:rsidR="00BF5161" w:rsidRPr="00D365C4" w:rsidRDefault="00BF5161">
            <w:pPr>
              <w:rPr>
                <w:sz w:val="24"/>
                <w:szCs w:val="24"/>
              </w:rPr>
            </w:pPr>
            <w:r w:rsidRPr="00D365C4">
              <w:rPr>
                <w:sz w:val="24"/>
                <w:szCs w:val="24"/>
              </w:rPr>
              <w:t>Version Date</w:t>
            </w:r>
          </w:p>
        </w:tc>
        <w:tc>
          <w:tcPr>
            <w:tcW w:w="4508" w:type="dxa"/>
          </w:tcPr>
          <w:p w14:paraId="180A5628" w14:textId="72758880" w:rsidR="00BF5161" w:rsidRPr="00D365C4" w:rsidRDefault="000E3395">
            <w:pPr>
              <w:rPr>
                <w:sz w:val="24"/>
                <w:szCs w:val="24"/>
              </w:rPr>
            </w:pPr>
            <w:r w:rsidRPr="00D365C4">
              <w:rPr>
                <w:sz w:val="24"/>
                <w:szCs w:val="24"/>
              </w:rPr>
              <w:t>16</w:t>
            </w:r>
            <w:r w:rsidRPr="00D365C4">
              <w:rPr>
                <w:sz w:val="24"/>
                <w:szCs w:val="24"/>
                <w:vertAlign w:val="superscript"/>
              </w:rPr>
              <w:t>th</w:t>
            </w:r>
            <w:r w:rsidRPr="00D365C4">
              <w:rPr>
                <w:sz w:val="24"/>
                <w:szCs w:val="24"/>
              </w:rPr>
              <w:t xml:space="preserve"> March 2021</w:t>
            </w:r>
          </w:p>
        </w:tc>
      </w:tr>
      <w:tr w:rsidR="00BF5161" w14:paraId="7B611DB3" w14:textId="77777777" w:rsidTr="00BF5161">
        <w:tc>
          <w:tcPr>
            <w:tcW w:w="4508" w:type="dxa"/>
          </w:tcPr>
          <w:p w14:paraId="64C238AB" w14:textId="43243EF3" w:rsidR="00BF5161" w:rsidRPr="00D365C4" w:rsidRDefault="00BF5161">
            <w:pPr>
              <w:rPr>
                <w:sz w:val="24"/>
                <w:szCs w:val="24"/>
              </w:rPr>
            </w:pPr>
            <w:r w:rsidRPr="00D365C4">
              <w:rPr>
                <w:sz w:val="24"/>
                <w:szCs w:val="24"/>
              </w:rPr>
              <w:t>Author</w:t>
            </w:r>
          </w:p>
        </w:tc>
        <w:tc>
          <w:tcPr>
            <w:tcW w:w="4508" w:type="dxa"/>
          </w:tcPr>
          <w:p w14:paraId="0A04F614" w14:textId="05C21EDF" w:rsidR="00BF5161" w:rsidRPr="00D365C4" w:rsidRDefault="000E3395">
            <w:pPr>
              <w:rPr>
                <w:sz w:val="24"/>
                <w:szCs w:val="24"/>
              </w:rPr>
            </w:pPr>
            <w:r w:rsidRPr="00D365C4">
              <w:rPr>
                <w:sz w:val="24"/>
                <w:szCs w:val="24"/>
              </w:rPr>
              <w:t>Karen Parker</w:t>
            </w:r>
          </w:p>
        </w:tc>
      </w:tr>
      <w:tr w:rsidR="00BF5161" w14:paraId="03561244" w14:textId="77777777" w:rsidTr="00BF5161">
        <w:tc>
          <w:tcPr>
            <w:tcW w:w="4508" w:type="dxa"/>
          </w:tcPr>
          <w:p w14:paraId="57BD6452" w14:textId="447CA548" w:rsidR="00BF5161" w:rsidRPr="00D365C4" w:rsidRDefault="00BF5161">
            <w:pPr>
              <w:rPr>
                <w:sz w:val="24"/>
                <w:szCs w:val="24"/>
              </w:rPr>
            </w:pPr>
            <w:r w:rsidRPr="00D365C4">
              <w:rPr>
                <w:sz w:val="24"/>
                <w:szCs w:val="24"/>
              </w:rPr>
              <w:t>Approved by</w:t>
            </w:r>
          </w:p>
        </w:tc>
        <w:tc>
          <w:tcPr>
            <w:tcW w:w="4508" w:type="dxa"/>
          </w:tcPr>
          <w:p w14:paraId="17BE8737" w14:textId="767CA6DD" w:rsidR="00BF5161" w:rsidRPr="00D365C4" w:rsidRDefault="00965C3E">
            <w:pPr>
              <w:rPr>
                <w:sz w:val="24"/>
                <w:szCs w:val="24"/>
              </w:rPr>
            </w:pPr>
            <w:r>
              <w:rPr>
                <w:sz w:val="24"/>
                <w:szCs w:val="24"/>
              </w:rPr>
              <w:t>HWWL Board</w:t>
            </w:r>
          </w:p>
        </w:tc>
      </w:tr>
      <w:tr w:rsidR="00BF5161" w14:paraId="6444BCE3" w14:textId="77777777" w:rsidTr="00BF5161">
        <w:tc>
          <w:tcPr>
            <w:tcW w:w="4508" w:type="dxa"/>
          </w:tcPr>
          <w:p w14:paraId="1807608B" w14:textId="67703C9B" w:rsidR="00BF5161" w:rsidRPr="00D365C4" w:rsidRDefault="00BF5161">
            <w:pPr>
              <w:rPr>
                <w:sz w:val="24"/>
                <w:szCs w:val="24"/>
              </w:rPr>
            </w:pPr>
            <w:r w:rsidRPr="00D365C4">
              <w:rPr>
                <w:sz w:val="24"/>
                <w:szCs w:val="24"/>
              </w:rPr>
              <w:t>Effective date</w:t>
            </w:r>
          </w:p>
        </w:tc>
        <w:tc>
          <w:tcPr>
            <w:tcW w:w="4508" w:type="dxa"/>
          </w:tcPr>
          <w:p w14:paraId="6E0F83EB" w14:textId="4AD84573" w:rsidR="00BF5161" w:rsidRPr="00D365C4" w:rsidRDefault="00E21FC1">
            <w:pPr>
              <w:rPr>
                <w:sz w:val="24"/>
                <w:szCs w:val="24"/>
              </w:rPr>
            </w:pPr>
            <w:r>
              <w:rPr>
                <w:sz w:val="24"/>
                <w:szCs w:val="24"/>
              </w:rPr>
              <w:t>29</w:t>
            </w:r>
            <w:r w:rsidRPr="00E21FC1">
              <w:rPr>
                <w:sz w:val="24"/>
                <w:szCs w:val="24"/>
                <w:vertAlign w:val="superscript"/>
              </w:rPr>
              <w:t>th</w:t>
            </w:r>
            <w:r>
              <w:rPr>
                <w:sz w:val="24"/>
                <w:szCs w:val="24"/>
              </w:rPr>
              <w:t xml:space="preserve"> March 2021</w:t>
            </w:r>
          </w:p>
        </w:tc>
      </w:tr>
      <w:tr w:rsidR="00BF5161" w14:paraId="17FD9683" w14:textId="77777777" w:rsidTr="00BF5161">
        <w:tc>
          <w:tcPr>
            <w:tcW w:w="4508" w:type="dxa"/>
          </w:tcPr>
          <w:p w14:paraId="3C0F4DAC" w14:textId="28754D60" w:rsidR="00BF5161" w:rsidRPr="00D365C4" w:rsidRDefault="00BF5161">
            <w:pPr>
              <w:rPr>
                <w:sz w:val="24"/>
                <w:szCs w:val="24"/>
              </w:rPr>
            </w:pPr>
            <w:r w:rsidRPr="00D365C4">
              <w:rPr>
                <w:sz w:val="24"/>
                <w:szCs w:val="24"/>
              </w:rPr>
              <w:t>Review date</w:t>
            </w:r>
          </w:p>
        </w:tc>
        <w:tc>
          <w:tcPr>
            <w:tcW w:w="4508" w:type="dxa"/>
          </w:tcPr>
          <w:p w14:paraId="322386F8" w14:textId="53D2E562" w:rsidR="00BF5161" w:rsidRPr="00D365C4" w:rsidRDefault="008C589A">
            <w:pPr>
              <w:rPr>
                <w:sz w:val="24"/>
                <w:szCs w:val="24"/>
              </w:rPr>
            </w:pPr>
            <w:r w:rsidRPr="00D365C4">
              <w:rPr>
                <w:sz w:val="24"/>
                <w:szCs w:val="24"/>
              </w:rPr>
              <w:t>16</w:t>
            </w:r>
            <w:r w:rsidRPr="00D365C4">
              <w:rPr>
                <w:sz w:val="24"/>
                <w:szCs w:val="24"/>
                <w:vertAlign w:val="superscript"/>
              </w:rPr>
              <w:t>th</w:t>
            </w:r>
            <w:r w:rsidRPr="00D365C4">
              <w:rPr>
                <w:sz w:val="24"/>
                <w:szCs w:val="24"/>
              </w:rPr>
              <w:t xml:space="preserve"> March 202</w:t>
            </w:r>
            <w:r w:rsidR="00E21FC1">
              <w:rPr>
                <w:sz w:val="24"/>
                <w:szCs w:val="24"/>
              </w:rPr>
              <w:t>3</w:t>
            </w:r>
          </w:p>
        </w:tc>
      </w:tr>
    </w:tbl>
    <w:p w14:paraId="5095F4F3" w14:textId="1F614278" w:rsidR="00BF5161" w:rsidRDefault="00BF5161"/>
    <w:p w14:paraId="713FC29E" w14:textId="361A1D1D" w:rsidR="005910F4" w:rsidRDefault="005910F4"/>
    <w:p w14:paraId="22DBA2CD" w14:textId="5F014DF7" w:rsidR="005910F4" w:rsidRDefault="005910F4"/>
    <w:p w14:paraId="5018DF1C" w14:textId="653421F7" w:rsidR="005910F4" w:rsidRDefault="005910F4"/>
    <w:p w14:paraId="1C07F70B" w14:textId="789D3390" w:rsidR="005910F4" w:rsidRDefault="005910F4"/>
    <w:p w14:paraId="0F966B7E" w14:textId="1E4F6164" w:rsidR="005910F4" w:rsidRPr="00DF2682" w:rsidRDefault="005910F4" w:rsidP="005910F4">
      <w:pPr>
        <w:rPr>
          <w:rFonts w:cstheme="minorHAnsi"/>
          <w:b/>
          <w:bCs/>
          <w:sz w:val="32"/>
          <w:szCs w:val="32"/>
        </w:rPr>
      </w:pPr>
      <w:r w:rsidRPr="00DF2682">
        <w:rPr>
          <w:rFonts w:cstheme="minorHAnsi"/>
          <w:b/>
          <w:bCs/>
          <w:color w:val="2E74B5" w:themeColor="accent5" w:themeShade="BF"/>
          <w:sz w:val="32"/>
          <w:szCs w:val="32"/>
        </w:rPr>
        <w:lastRenderedPageBreak/>
        <w:t xml:space="preserve">Purpose </w:t>
      </w:r>
      <w:r w:rsidRPr="00DF2682">
        <w:rPr>
          <w:rFonts w:cstheme="minorHAnsi"/>
          <w:b/>
          <w:bCs/>
          <w:sz w:val="32"/>
          <w:szCs w:val="32"/>
        </w:rPr>
        <w:t xml:space="preserve"> </w:t>
      </w:r>
    </w:p>
    <w:p w14:paraId="6E3122E0" w14:textId="5EC46A41" w:rsidR="00100A9D" w:rsidRPr="00F46A74" w:rsidRDefault="005910F4" w:rsidP="00100A9D">
      <w:pPr>
        <w:rPr>
          <w:sz w:val="24"/>
          <w:szCs w:val="24"/>
        </w:rPr>
      </w:pPr>
      <w:r w:rsidRPr="00DF2682">
        <w:rPr>
          <w:rFonts w:cstheme="minorHAnsi"/>
          <w:sz w:val="24"/>
          <w:szCs w:val="24"/>
        </w:rPr>
        <w:t xml:space="preserve">Wigan Borough Healthwatch CIC is committed to following good practice in all financial matters.  This policy sets out the </w:t>
      </w:r>
      <w:proofErr w:type="gramStart"/>
      <w:r w:rsidRPr="00DF2682">
        <w:rPr>
          <w:rFonts w:cstheme="minorHAnsi"/>
          <w:sz w:val="24"/>
          <w:szCs w:val="24"/>
        </w:rPr>
        <w:t>amount</w:t>
      </w:r>
      <w:proofErr w:type="gramEnd"/>
      <w:r w:rsidRPr="00DF2682">
        <w:rPr>
          <w:rFonts w:cstheme="minorHAnsi"/>
          <w:sz w:val="24"/>
          <w:szCs w:val="24"/>
        </w:rPr>
        <w:t xml:space="preserve"> of reserves that will be maintained to enable </w:t>
      </w:r>
      <w:r w:rsidR="00D365C4">
        <w:rPr>
          <w:rFonts w:cstheme="minorHAnsi"/>
          <w:sz w:val="24"/>
          <w:szCs w:val="24"/>
        </w:rPr>
        <w:t>the organisation</w:t>
      </w:r>
      <w:r w:rsidRPr="00DF2682">
        <w:rPr>
          <w:rFonts w:cstheme="minorHAnsi"/>
          <w:sz w:val="24"/>
          <w:szCs w:val="24"/>
        </w:rPr>
        <w:t xml:space="preserve"> to meet its obligations in terms of outstanding pay, statutory redundancy payments and any other liabilities in respect of contracted services and leased premises (restricted funds). It will also cover the use and access to reserve funds, minimum value setting and monitoring/reporting. </w:t>
      </w:r>
      <w:r w:rsidR="00100A9D">
        <w:rPr>
          <w:rFonts w:cstheme="minorHAnsi"/>
          <w:sz w:val="24"/>
          <w:szCs w:val="24"/>
        </w:rPr>
        <w:t xml:space="preserve"> </w:t>
      </w:r>
      <w:r w:rsidR="00100A9D" w:rsidRPr="00F46A74">
        <w:rPr>
          <w:sz w:val="24"/>
          <w:szCs w:val="24"/>
        </w:rPr>
        <w:t>The reserves level will be reviewed annually by the Board of Directors.</w:t>
      </w:r>
    </w:p>
    <w:p w14:paraId="41D021F5" w14:textId="68B39D93" w:rsidR="005910F4" w:rsidRDefault="005910F4"/>
    <w:p w14:paraId="3ADD8085" w14:textId="28A0AEB1" w:rsidR="005910F4" w:rsidRPr="00DF2682" w:rsidRDefault="005910F4" w:rsidP="005910F4">
      <w:pPr>
        <w:rPr>
          <w:b/>
          <w:bCs/>
          <w:color w:val="2E74B5" w:themeColor="accent5" w:themeShade="BF"/>
          <w:sz w:val="32"/>
          <w:szCs w:val="32"/>
        </w:rPr>
      </w:pPr>
      <w:r w:rsidRPr="00DF2682">
        <w:rPr>
          <w:b/>
          <w:bCs/>
          <w:color w:val="2E74B5" w:themeColor="accent5" w:themeShade="BF"/>
          <w:sz w:val="32"/>
          <w:szCs w:val="32"/>
        </w:rPr>
        <w:t xml:space="preserve">Minimum reserves and purpose  </w:t>
      </w:r>
    </w:p>
    <w:p w14:paraId="0BD6A282" w14:textId="069D5DFA" w:rsidR="00DF2682" w:rsidRDefault="005910F4" w:rsidP="005910F4">
      <w:pPr>
        <w:rPr>
          <w:sz w:val="24"/>
          <w:szCs w:val="24"/>
        </w:rPr>
      </w:pPr>
      <w:r w:rsidRPr="00DF2682">
        <w:rPr>
          <w:sz w:val="24"/>
          <w:szCs w:val="24"/>
        </w:rPr>
        <w:t>Following accepted good practice that organisations maintain a minimum of three months’ operating costs to cover financial liabilities, in addition to the balance of contracts liable for the remainder of their duration. This would mean the reserves required to cover this would consist of: Three months operational costs. This will include (but is not limited to):</w:t>
      </w:r>
    </w:p>
    <w:p w14:paraId="788AF9C8" w14:textId="6E034C21" w:rsidR="00DF2682" w:rsidRPr="00DF2682" w:rsidRDefault="00DF2682" w:rsidP="005910F4">
      <w:pPr>
        <w:pStyle w:val="ListParagraph"/>
        <w:numPr>
          <w:ilvl w:val="0"/>
          <w:numId w:val="1"/>
        </w:numPr>
        <w:rPr>
          <w:sz w:val="28"/>
          <w:szCs w:val="28"/>
        </w:rPr>
      </w:pPr>
      <w:r w:rsidRPr="00DF2682">
        <w:rPr>
          <w:sz w:val="24"/>
          <w:szCs w:val="24"/>
        </w:rPr>
        <w:t>Staff wages</w:t>
      </w:r>
    </w:p>
    <w:p w14:paraId="0F8C7ED5" w14:textId="70139DFC" w:rsidR="00DF2682" w:rsidRPr="00DF2682" w:rsidRDefault="00DF2682" w:rsidP="005910F4">
      <w:pPr>
        <w:pStyle w:val="ListParagraph"/>
        <w:numPr>
          <w:ilvl w:val="0"/>
          <w:numId w:val="1"/>
        </w:numPr>
        <w:rPr>
          <w:sz w:val="28"/>
          <w:szCs w:val="28"/>
        </w:rPr>
      </w:pPr>
      <w:r>
        <w:rPr>
          <w:sz w:val="24"/>
          <w:szCs w:val="24"/>
        </w:rPr>
        <w:t>Staff pension contributions and any other contractual employment expenses</w:t>
      </w:r>
    </w:p>
    <w:p w14:paraId="3BA0AD5B" w14:textId="4B98BAAA" w:rsidR="00DF2682" w:rsidRPr="00DF2682" w:rsidRDefault="00DF2682" w:rsidP="005910F4">
      <w:pPr>
        <w:pStyle w:val="ListParagraph"/>
        <w:numPr>
          <w:ilvl w:val="0"/>
          <w:numId w:val="1"/>
        </w:numPr>
        <w:rPr>
          <w:sz w:val="28"/>
          <w:szCs w:val="28"/>
        </w:rPr>
      </w:pPr>
      <w:r>
        <w:rPr>
          <w:sz w:val="24"/>
          <w:szCs w:val="24"/>
        </w:rPr>
        <w:t xml:space="preserve">Running </w:t>
      </w:r>
      <w:proofErr w:type="gramStart"/>
      <w:r>
        <w:rPr>
          <w:sz w:val="24"/>
          <w:szCs w:val="24"/>
        </w:rPr>
        <w:t>costs</w:t>
      </w:r>
      <w:r w:rsidR="00F46A74">
        <w:rPr>
          <w:sz w:val="24"/>
          <w:szCs w:val="24"/>
        </w:rPr>
        <w:t>(</w:t>
      </w:r>
      <w:proofErr w:type="gramEnd"/>
      <w:r w:rsidR="00F46A74">
        <w:rPr>
          <w:sz w:val="24"/>
          <w:szCs w:val="24"/>
        </w:rPr>
        <w:t>including expenses and supplies where relevant)</w:t>
      </w:r>
    </w:p>
    <w:p w14:paraId="4AFD7D76" w14:textId="2F0DCDB6" w:rsidR="00DF2682" w:rsidRDefault="005910F4" w:rsidP="005910F4">
      <w:pPr>
        <w:rPr>
          <w:sz w:val="24"/>
          <w:szCs w:val="24"/>
        </w:rPr>
      </w:pPr>
      <w:r w:rsidRPr="00F46A74">
        <w:rPr>
          <w:sz w:val="24"/>
          <w:szCs w:val="24"/>
        </w:rPr>
        <w:t xml:space="preserve">The balance of contracts still to run that we </w:t>
      </w:r>
      <w:r w:rsidR="00D365C4">
        <w:rPr>
          <w:sz w:val="24"/>
          <w:szCs w:val="24"/>
        </w:rPr>
        <w:t>could be</w:t>
      </w:r>
      <w:r w:rsidRPr="00F46A74">
        <w:rPr>
          <w:sz w:val="24"/>
          <w:szCs w:val="24"/>
        </w:rPr>
        <w:t xml:space="preserve"> liable for includ</w:t>
      </w:r>
      <w:r w:rsidR="00D365C4">
        <w:rPr>
          <w:sz w:val="24"/>
          <w:szCs w:val="24"/>
        </w:rPr>
        <w:t>e</w:t>
      </w:r>
      <w:r w:rsidRPr="00F46A74">
        <w:rPr>
          <w:sz w:val="24"/>
          <w:szCs w:val="24"/>
        </w:rPr>
        <w:t>:</w:t>
      </w:r>
    </w:p>
    <w:p w14:paraId="2E096123" w14:textId="440B1F1E" w:rsidR="00F46A74" w:rsidRDefault="00F46A74" w:rsidP="00F46A74">
      <w:pPr>
        <w:pStyle w:val="ListParagraph"/>
        <w:numPr>
          <w:ilvl w:val="0"/>
          <w:numId w:val="2"/>
        </w:numPr>
        <w:rPr>
          <w:sz w:val="24"/>
          <w:szCs w:val="24"/>
        </w:rPr>
      </w:pPr>
      <w:r>
        <w:rPr>
          <w:sz w:val="24"/>
          <w:szCs w:val="24"/>
        </w:rPr>
        <w:t>Subscriptions</w:t>
      </w:r>
    </w:p>
    <w:p w14:paraId="79B59B49" w14:textId="566CC23E" w:rsidR="00F46A74" w:rsidRDefault="00F46A74" w:rsidP="00F46A74">
      <w:pPr>
        <w:pStyle w:val="ListParagraph"/>
        <w:numPr>
          <w:ilvl w:val="0"/>
          <w:numId w:val="2"/>
        </w:numPr>
        <w:rPr>
          <w:sz w:val="24"/>
          <w:szCs w:val="24"/>
        </w:rPr>
      </w:pPr>
      <w:r>
        <w:rPr>
          <w:sz w:val="24"/>
          <w:szCs w:val="24"/>
        </w:rPr>
        <w:t xml:space="preserve">Payments to third parties for work </w:t>
      </w:r>
      <w:r w:rsidR="00D365C4">
        <w:rPr>
          <w:sz w:val="24"/>
          <w:szCs w:val="24"/>
        </w:rPr>
        <w:t>delivered</w:t>
      </w:r>
    </w:p>
    <w:p w14:paraId="593A40B7" w14:textId="77777777" w:rsidR="00F46A74" w:rsidRPr="00F46A74" w:rsidRDefault="00F46A74" w:rsidP="005910F4">
      <w:pPr>
        <w:pStyle w:val="ListParagraph"/>
        <w:numPr>
          <w:ilvl w:val="0"/>
          <w:numId w:val="2"/>
        </w:numPr>
        <w:rPr>
          <w:sz w:val="28"/>
          <w:szCs w:val="28"/>
        </w:rPr>
      </w:pPr>
      <w:r w:rsidRPr="00F46A74">
        <w:rPr>
          <w:sz w:val="24"/>
          <w:szCs w:val="24"/>
        </w:rPr>
        <w:t>Leases/hire purchase fees</w:t>
      </w:r>
    </w:p>
    <w:p w14:paraId="489D04A6" w14:textId="77777777" w:rsidR="00F46A74" w:rsidRPr="00F46A74" w:rsidRDefault="00F46A74" w:rsidP="005910F4">
      <w:pPr>
        <w:pStyle w:val="ListParagraph"/>
        <w:numPr>
          <w:ilvl w:val="0"/>
          <w:numId w:val="2"/>
        </w:numPr>
        <w:rPr>
          <w:sz w:val="28"/>
          <w:szCs w:val="28"/>
        </w:rPr>
      </w:pPr>
      <w:r>
        <w:rPr>
          <w:sz w:val="24"/>
          <w:szCs w:val="24"/>
        </w:rPr>
        <w:t>Property rent and service charges</w:t>
      </w:r>
    </w:p>
    <w:p w14:paraId="4DB10DFB" w14:textId="0A85DE46" w:rsidR="005910F4" w:rsidRDefault="00F46A74" w:rsidP="005910F4">
      <w:pPr>
        <w:pStyle w:val="ListParagraph"/>
        <w:numPr>
          <w:ilvl w:val="0"/>
          <w:numId w:val="2"/>
        </w:numPr>
      </w:pPr>
      <w:r w:rsidRPr="00F46A74">
        <w:rPr>
          <w:sz w:val="24"/>
          <w:szCs w:val="24"/>
        </w:rPr>
        <w:t>Redundancy costs</w:t>
      </w:r>
      <w:r w:rsidR="005910F4">
        <w:t xml:space="preserve">  </w:t>
      </w:r>
    </w:p>
    <w:p w14:paraId="1F064922" w14:textId="4F306A01" w:rsidR="005910F4" w:rsidRDefault="005910F4" w:rsidP="005910F4"/>
    <w:p w14:paraId="71A13D5F" w14:textId="1174993B" w:rsidR="005910F4" w:rsidRDefault="005910F4" w:rsidP="005910F4">
      <w:r w:rsidRPr="00F46A74">
        <w:rPr>
          <w:b/>
          <w:bCs/>
          <w:color w:val="2E74B5" w:themeColor="accent5" w:themeShade="BF"/>
          <w:sz w:val="32"/>
          <w:szCs w:val="32"/>
        </w:rPr>
        <w:t xml:space="preserve">Redundancy </w:t>
      </w:r>
      <w:r>
        <w:t xml:space="preserve"> </w:t>
      </w:r>
    </w:p>
    <w:p w14:paraId="790F735E" w14:textId="77777777" w:rsidR="00F46A74" w:rsidRPr="00B569D2" w:rsidRDefault="005910F4" w:rsidP="005910F4">
      <w:pPr>
        <w:rPr>
          <w:sz w:val="24"/>
          <w:szCs w:val="24"/>
        </w:rPr>
      </w:pPr>
      <w:r w:rsidRPr="00B569D2">
        <w:rPr>
          <w:sz w:val="24"/>
          <w:szCs w:val="24"/>
        </w:rPr>
        <w:t xml:space="preserve">Employees get: </w:t>
      </w:r>
    </w:p>
    <w:p w14:paraId="3B8E13D2" w14:textId="77777777" w:rsidR="00F46A74" w:rsidRPr="00B569D2" w:rsidRDefault="005910F4" w:rsidP="005910F4">
      <w:pPr>
        <w:rPr>
          <w:sz w:val="24"/>
          <w:szCs w:val="24"/>
        </w:rPr>
      </w:pPr>
      <w:r w:rsidRPr="00B569D2">
        <w:rPr>
          <w:sz w:val="24"/>
          <w:szCs w:val="24"/>
        </w:rPr>
        <w:t xml:space="preserve">• 1.5 weeks’ pay for each year of employment after their 41st birthday  </w:t>
      </w:r>
    </w:p>
    <w:p w14:paraId="62DA0DED" w14:textId="77777777" w:rsidR="00F46A74" w:rsidRPr="00B569D2" w:rsidRDefault="005910F4" w:rsidP="005910F4">
      <w:pPr>
        <w:rPr>
          <w:sz w:val="24"/>
          <w:szCs w:val="24"/>
        </w:rPr>
      </w:pPr>
      <w:r w:rsidRPr="00B569D2">
        <w:rPr>
          <w:sz w:val="24"/>
          <w:szCs w:val="24"/>
        </w:rPr>
        <w:t xml:space="preserve">• a week’s pay for each year of employment after their 22nd birthday </w:t>
      </w:r>
    </w:p>
    <w:p w14:paraId="75C82212" w14:textId="77777777" w:rsidR="00F46A74" w:rsidRPr="00B569D2" w:rsidRDefault="005910F4" w:rsidP="005910F4">
      <w:pPr>
        <w:rPr>
          <w:sz w:val="24"/>
          <w:szCs w:val="24"/>
        </w:rPr>
      </w:pPr>
      <w:r w:rsidRPr="00B569D2">
        <w:rPr>
          <w:sz w:val="24"/>
          <w:szCs w:val="24"/>
        </w:rPr>
        <w:t>• half a week’s pay for each year of employment up to their 22nd birthday</w:t>
      </w:r>
    </w:p>
    <w:p w14:paraId="0F5F7B3D" w14:textId="5C911D39" w:rsidR="005910F4" w:rsidRDefault="005910F4" w:rsidP="005910F4">
      <w:pPr>
        <w:rPr>
          <w:sz w:val="24"/>
          <w:szCs w:val="24"/>
        </w:rPr>
      </w:pPr>
      <w:r w:rsidRPr="00B569D2">
        <w:rPr>
          <w:sz w:val="24"/>
          <w:szCs w:val="24"/>
        </w:rPr>
        <w:t>Length of service is capped at 20 years and weekly pay is capped at £5</w:t>
      </w:r>
      <w:r w:rsidR="00100A9D" w:rsidRPr="00B569D2">
        <w:rPr>
          <w:sz w:val="24"/>
          <w:szCs w:val="24"/>
        </w:rPr>
        <w:t>3</w:t>
      </w:r>
      <w:r w:rsidRPr="00B569D2">
        <w:rPr>
          <w:sz w:val="24"/>
          <w:szCs w:val="24"/>
        </w:rPr>
        <w:t>8. The maximum amount of statutory redundancy pay is £1</w:t>
      </w:r>
      <w:r w:rsidR="00100A9D" w:rsidRPr="00B569D2">
        <w:rPr>
          <w:sz w:val="24"/>
          <w:szCs w:val="24"/>
        </w:rPr>
        <w:t>6</w:t>
      </w:r>
      <w:r w:rsidRPr="00B569D2">
        <w:rPr>
          <w:sz w:val="24"/>
          <w:szCs w:val="24"/>
        </w:rPr>
        <w:t>,</w:t>
      </w:r>
      <w:r w:rsidR="00100A9D" w:rsidRPr="00B569D2">
        <w:rPr>
          <w:sz w:val="24"/>
          <w:szCs w:val="24"/>
        </w:rPr>
        <w:t>1</w:t>
      </w:r>
      <w:r w:rsidRPr="00B569D2">
        <w:rPr>
          <w:sz w:val="24"/>
          <w:szCs w:val="24"/>
        </w:rPr>
        <w:t>40.</w:t>
      </w:r>
      <w:r w:rsidRPr="00F46A74">
        <w:rPr>
          <w:sz w:val="24"/>
          <w:szCs w:val="24"/>
        </w:rPr>
        <w:t xml:space="preserve"> </w:t>
      </w:r>
    </w:p>
    <w:p w14:paraId="461AFD0E" w14:textId="146AEAC4" w:rsidR="00100A9D" w:rsidRDefault="00100A9D" w:rsidP="005910F4">
      <w:pPr>
        <w:rPr>
          <w:sz w:val="24"/>
          <w:szCs w:val="24"/>
        </w:rPr>
      </w:pPr>
    </w:p>
    <w:p w14:paraId="64BD0B29" w14:textId="77777777" w:rsidR="00100A9D" w:rsidRPr="00F46A74" w:rsidRDefault="00100A9D" w:rsidP="005910F4">
      <w:pPr>
        <w:rPr>
          <w:sz w:val="24"/>
          <w:szCs w:val="24"/>
        </w:rPr>
      </w:pPr>
    </w:p>
    <w:p w14:paraId="4AD0C3A0" w14:textId="1626B213" w:rsidR="00CA1F83" w:rsidRDefault="00CA1F83" w:rsidP="005910F4"/>
    <w:p w14:paraId="13DF9DCB" w14:textId="42EB6753" w:rsidR="00DF2682" w:rsidRPr="00100A9D" w:rsidRDefault="00100A9D" w:rsidP="00DF2682">
      <w:pPr>
        <w:rPr>
          <w:b/>
          <w:bCs/>
          <w:color w:val="2E74B5" w:themeColor="accent5" w:themeShade="BF"/>
          <w:sz w:val="32"/>
          <w:szCs w:val="32"/>
        </w:rPr>
      </w:pPr>
      <w:r w:rsidRPr="00100A9D">
        <w:rPr>
          <w:b/>
          <w:bCs/>
          <w:color w:val="2E74B5" w:themeColor="accent5" w:themeShade="BF"/>
          <w:sz w:val="32"/>
          <w:szCs w:val="32"/>
        </w:rPr>
        <w:t xml:space="preserve">Reasonable </w:t>
      </w:r>
      <w:r w:rsidR="00DF2682" w:rsidRPr="00100A9D">
        <w:rPr>
          <w:b/>
          <w:bCs/>
          <w:color w:val="2E74B5" w:themeColor="accent5" w:themeShade="BF"/>
          <w:sz w:val="32"/>
          <w:szCs w:val="32"/>
        </w:rPr>
        <w:t xml:space="preserve">cash flow  </w:t>
      </w:r>
    </w:p>
    <w:p w14:paraId="05F85152" w14:textId="5ADDAD2D" w:rsidR="00100A9D" w:rsidRDefault="00DF2682" w:rsidP="00DF2682">
      <w:pPr>
        <w:rPr>
          <w:sz w:val="24"/>
          <w:szCs w:val="24"/>
        </w:rPr>
      </w:pPr>
      <w:r w:rsidRPr="00100A9D">
        <w:rPr>
          <w:sz w:val="24"/>
          <w:szCs w:val="24"/>
        </w:rPr>
        <w:t xml:space="preserve">The organisation needs to maintain sufficient non-committed funds to enable the undisrupted functioning of </w:t>
      </w:r>
      <w:r w:rsidR="00D365C4">
        <w:rPr>
          <w:sz w:val="24"/>
          <w:szCs w:val="24"/>
        </w:rPr>
        <w:t>Wigan Borough Healthwatch CIC</w:t>
      </w:r>
      <w:r w:rsidRPr="00100A9D">
        <w:rPr>
          <w:sz w:val="24"/>
          <w:szCs w:val="24"/>
        </w:rPr>
        <w:t xml:space="preserve">. </w:t>
      </w:r>
    </w:p>
    <w:p w14:paraId="4D2AE4A7" w14:textId="77777777" w:rsidR="00100A9D" w:rsidRDefault="00DF2682" w:rsidP="00DF2682">
      <w:pPr>
        <w:rPr>
          <w:sz w:val="24"/>
          <w:szCs w:val="24"/>
        </w:rPr>
      </w:pPr>
      <w:r w:rsidRPr="00100A9D">
        <w:rPr>
          <w:sz w:val="24"/>
          <w:szCs w:val="24"/>
        </w:rPr>
        <w:t>This should be enough to cover reasonably forecast expenses that may occur in the ongoing business. These should be budgeted for and not to come directly from reserves.</w:t>
      </w:r>
    </w:p>
    <w:p w14:paraId="43D171D9" w14:textId="77777777" w:rsidR="00100A9D" w:rsidRDefault="00DF2682" w:rsidP="00DF2682">
      <w:pPr>
        <w:rPr>
          <w:sz w:val="24"/>
          <w:szCs w:val="24"/>
        </w:rPr>
      </w:pPr>
      <w:r w:rsidRPr="00100A9D">
        <w:rPr>
          <w:sz w:val="24"/>
          <w:szCs w:val="24"/>
        </w:rPr>
        <w:t xml:space="preserve">Petty cash, employee expense re-imbursement, </w:t>
      </w:r>
      <w:proofErr w:type="gramStart"/>
      <w:r w:rsidRPr="00100A9D">
        <w:rPr>
          <w:sz w:val="24"/>
          <w:szCs w:val="24"/>
        </w:rPr>
        <w:t>equipment</w:t>
      </w:r>
      <w:proofErr w:type="gramEnd"/>
      <w:r w:rsidRPr="00100A9D">
        <w:rPr>
          <w:sz w:val="24"/>
          <w:szCs w:val="24"/>
        </w:rPr>
        <w:t xml:space="preserve"> and supply purchases etc would be examples of the use of budgeted funds and not reserves.</w:t>
      </w:r>
    </w:p>
    <w:p w14:paraId="658A5150" w14:textId="05496AD2" w:rsidR="00DF2682" w:rsidRPr="00100A9D" w:rsidRDefault="00DF2682" w:rsidP="00DF2682">
      <w:pPr>
        <w:rPr>
          <w:sz w:val="24"/>
          <w:szCs w:val="24"/>
        </w:rPr>
      </w:pPr>
      <w:r w:rsidRPr="00100A9D">
        <w:rPr>
          <w:sz w:val="24"/>
          <w:szCs w:val="24"/>
        </w:rPr>
        <w:t>However, reserve funds can be used for extraordinary expenses that may arise, or on purchases or commitments that are agreed upon by the board in advance. This may include technology investment, recruitment, consultant fees, training or other expenses deemed reasonable for the use of reserve funds which fit within the agreed remit of the organisation</w:t>
      </w:r>
      <w:r w:rsidR="00D365C4">
        <w:rPr>
          <w:sz w:val="24"/>
          <w:szCs w:val="24"/>
        </w:rPr>
        <w:t>.</w:t>
      </w:r>
    </w:p>
    <w:p w14:paraId="4C789BD6" w14:textId="49FF3470" w:rsidR="00DF2682" w:rsidRDefault="00DF2682" w:rsidP="00DF2682"/>
    <w:p w14:paraId="21EA83A3" w14:textId="28FE4625" w:rsidR="00DF2682" w:rsidRPr="008C589A" w:rsidRDefault="00DF2682" w:rsidP="00DF2682">
      <w:pPr>
        <w:rPr>
          <w:b/>
          <w:bCs/>
        </w:rPr>
      </w:pPr>
      <w:r w:rsidRPr="008C589A">
        <w:rPr>
          <w:b/>
          <w:bCs/>
          <w:color w:val="2E74B5" w:themeColor="accent5" w:themeShade="BF"/>
          <w:sz w:val="32"/>
          <w:szCs w:val="32"/>
        </w:rPr>
        <w:t xml:space="preserve">Reporting </w:t>
      </w:r>
      <w:r w:rsidRPr="008C589A">
        <w:rPr>
          <w:b/>
          <w:bCs/>
        </w:rPr>
        <w:t xml:space="preserve"> </w:t>
      </w:r>
    </w:p>
    <w:p w14:paraId="5F26CE42" w14:textId="069A2F47" w:rsidR="008C589A" w:rsidRPr="008C589A" w:rsidRDefault="00DF2682" w:rsidP="00DF2682">
      <w:pPr>
        <w:rPr>
          <w:sz w:val="24"/>
          <w:szCs w:val="24"/>
        </w:rPr>
      </w:pPr>
      <w:r w:rsidRPr="008C589A">
        <w:rPr>
          <w:sz w:val="24"/>
          <w:szCs w:val="24"/>
        </w:rPr>
        <w:t xml:space="preserve">Reporting of the status of the reserves will be made in the organisation’s Annual </w:t>
      </w:r>
      <w:r w:rsidR="00D365C4">
        <w:rPr>
          <w:sz w:val="24"/>
          <w:szCs w:val="24"/>
        </w:rPr>
        <w:t>R</w:t>
      </w:r>
      <w:r w:rsidRPr="008C589A">
        <w:rPr>
          <w:sz w:val="24"/>
          <w:szCs w:val="24"/>
        </w:rPr>
        <w:t xml:space="preserve">eport. In addition to this, changes to the funds available and use or allocation of reserves will need to be brought to the board </w:t>
      </w:r>
      <w:r w:rsidR="00D365C4">
        <w:rPr>
          <w:sz w:val="24"/>
          <w:szCs w:val="24"/>
        </w:rPr>
        <w:t>and documented</w:t>
      </w:r>
      <w:r w:rsidRPr="008C589A">
        <w:rPr>
          <w:sz w:val="24"/>
          <w:szCs w:val="24"/>
        </w:rPr>
        <w:t xml:space="preserve">. Ultimate responsibility for this will lay with the </w:t>
      </w:r>
      <w:r w:rsidR="00D365C4">
        <w:rPr>
          <w:sz w:val="24"/>
          <w:szCs w:val="24"/>
        </w:rPr>
        <w:t>T</w:t>
      </w:r>
      <w:r w:rsidRPr="008C589A">
        <w:rPr>
          <w:sz w:val="24"/>
          <w:szCs w:val="24"/>
        </w:rPr>
        <w:t>reasurer.</w:t>
      </w:r>
    </w:p>
    <w:p w14:paraId="3CC8CDA3" w14:textId="6EC39503" w:rsidR="00DF2682" w:rsidRPr="008C589A" w:rsidRDefault="00DF2682" w:rsidP="00DF2682">
      <w:pPr>
        <w:rPr>
          <w:sz w:val="24"/>
          <w:szCs w:val="24"/>
        </w:rPr>
      </w:pPr>
      <w:r w:rsidRPr="008C589A">
        <w:rPr>
          <w:sz w:val="24"/>
          <w:szCs w:val="24"/>
        </w:rPr>
        <w:t xml:space="preserve">Additional reporting will be in the audited accounts submitted annually to Companies House. </w:t>
      </w:r>
    </w:p>
    <w:p w14:paraId="5E8B8267" w14:textId="77777777" w:rsidR="00DF2682" w:rsidRDefault="00DF2682" w:rsidP="00DF2682"/>
    <w:p w14:paraId="66218B66" w14:textId="77777777" w:rsidR="005910F4" w:rsidRDefault="005910F4"/>
    <w:sectPr w:rsidR="005910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DBF1" w14:textId="77777777" w:rsidR="00AA2701" w:rsidRDefault="00AA2701" w:rsidP="005910F4">
      <w:pPr>
        <w:spacing w:after="0" w:line="240" w:lineRule="auto"/>
      </w:pPr>
      <w:r>
        <w:separator/>
      </w:r>
    </w:p>
  </w:endnote>
  <w:endnote w:type="continuationSeparator" w:id="0">
    <w:p w14:paraId="139AE3BF" w14:textId="77777777" w:rsidR="00AA2701" w:rsidRDefault="00AA2701" w:rsidP="005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22379"/>
      <w:docPartObj>
        <w:docPartGallery w:val="Page Numbers (Bottom of Page)"/>
        <w:docPartUnique/>
      </w:docPartObj>
    </w:sdtPr>
    <w:sdtEndPr>
      <w:rPr>
        <w:color w:val="7F7F7F" w:themeColor="background1" w:themeShade="7F"/>
        <w:spacing w:val="60"/>
      </w:rPr>
    </w:sdtEndPr>
    <w:sdtContent>
      <w:p w14:paraId="19EF73AD" w14:textId="29D47E45" w:rsidR="008C589A" w:rsidRDefault="008C589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F8EF7D" w14:textId="77777777" w:rsidR="008C589A" w:rsidRDefault="008C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1F86" w14:textId="77777777" w:rsidR="00AA2701" w:rsidRDefault="00AA2701" w:rsidP="005910F4">
      <w:pPr>
        <w:spacing w:after="0" w:line="240" w:lineRule="auto"/>
      </w:pPr>
      <w:r>
        <w:separator/>
      </w:r>
    </w:p>
  </w:footnote>
  <w:footnote w:type="continuationSeparator" w:id="0">
    <w:p w14:paraId="776D1187" w14:textId="77777777" w:rsidR="00AA2701" w:rsidRDefault="00AA2701" w:rsidP="0059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40E9" w14:textId="7AD27B24" w:rsidR="00D365C4" w:rsidRDefault="00D365C4">
    <w:pPr>
      <w:pStyle w:val="Header"/>
    </w:pPr>
    <w:r>
      <w:rPr>
        <w:noProof/>
      </w:rPr>
      <mc:AlternateContent>
        <mc:Choice Requires="wps">
          <w:drawing>
            <wp:anchor distT="0" distB="0" distL="118745" distR="118745" simplePos="0" relativeHeight="251659264" behindDoc="1" locked="0" layoutInCell="1" allowOverlap="0" wp14:anchorId="161B0935" wp14:editId="263CF7E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3C6C45" w14:textId="74C9092A" w:rsidR="00D365C4" w:rsidRDefault="00D365C4">
                              <w:pPr>
                                <w:pStyle w:val="Header"/>
                                <w:jc w:val="center"/>
                                <w:rPr>
                                  <w:caps/>
                                  <w:color w:val="FFFFFF" w:themeColor="background1"/>
                                </w:rPr>
                              </w:pPr>
                              <w:r>
                                <w:rPr>
                                  <w:caps/>
                                  <w:color w:val="FFFFFF" w:themeColor="background1"/>
                                </w:rPr>
                                <w:t>Wigan Borough Healthwatch CIC company number 11798868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1B0935"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3C6C45" w14:textId="74C9092A" w:rsidR="00D365C4" w:rsidRDefault="00D365C4">
                        <w:pPr>
                          <w:pStyle w:val="Header"/>
                          <w:jc w:val="center"/>
                          <w:rPr>
                            <w:caps/>
                            <w:color w:val="FFFFFF" w:themeColor="background1"/>
                          </w:rPr>
                        </w:pPr>
                        <w:r>
                          <w:rPr>
                            <w:caps/>
                            <w:color w:val="FFFFFF" w:themeColor="background1"/>
                          </w:rPr>
                          <w:t>Wigan Borough Healthwatch CIC company number 11798868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2047C"/>
    <w:multiLevelType w:val="hybridMultilevel"/>
    <w:tmpl w:val="5B50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F0CE9"/>
    <w:multiLevelType w:val="hybridMultilevel"/>
    <w:tmpl w:val="E3C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37"/>
    <w:rsid w:val="000E3395"/>
    <w:rsid w:val="00100A9D"/>
    <w:rsid w:val="00234368"/>
    <w:rsid w:val="00386137"/>
    <w:rsid w:val="005910F4"/>
    <w:rsid w:val="0059348B"/>
    <w:rsid w:val="008C589A"/>
    <w:rsid w:val="008E4C59"/>
    <w:rsid w:val="00965C3E"/>
    <w:rsid w:val="00AA2701"/>
    <w:rsid w:val="00B569D2"/>
    <w:rsid w:val="00BF5161"/>
    <w:rsid w:val="00CA1F83"/>
    <w:rsid w:val="00D365C4"/>
    <w:rsid w:val="00DF2682"/>
    <w:rsid w:val="00E21FC1"/>
    <w:rsid w:val="00F4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DDC6"/>
  <w15:chartTrackingRefBased/>
  <w15:docId w15:val="{3D591F28-8D5C-469C-9271-0D24BB9F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0F4"/>
  </w:style>
  <w:style w:type="paragraph" w:styleId="Footer">
    <w:name w:val="footer"/>
    <w:basedOn w:val="Normal"/>
    <w:link w:val="FooterChar"/>
    <w:uiPriority w:val="99"/>
    <w:unhideWhenUsed/>
    <w:rsid w:val="0059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0F4"/>
  </w:style>
  <w:style w:type="paragraph" w:styleId="ListParagraph">
    <w:name w:val="List Paragraph"/>
    <w:basedOn w:val="Normal"/>
    <w:uiPriority w:val="34"/>
    <w:qFormat/>
    <w:rsid w:val="00DF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2E140D8B83C47B1BC821DB113DC17" ma:contentTypeVersion="13" ma:contentTypeDescription="Create a new document." ma:contentTypeScope="" ma:versionID="683231e58da52190a2c3b44ce2ab3522">
  <xsd:schema xmlns:xsd="http://www.w3.org/2001/XMLSchema" xmlns:xs="http://www.w3.org/2001/XMLSchema" xmlns:p="http://schemas.microsoft.com/office/2006/metadata/properties" xmlns:ns2="49d2ad20-602e-460a-8603-f82004d7a54e" xmlns:ns3="d2a848b4-34f9-49f3-b198-e8c1ce4ba4d1" targetNamespace="http://schemas.microsoft.com/office/2006/metadata/properties" ma:root="true" ma:fieldsID="bb880784639d78b9bb87fc9a4136ae6b" ns2:_="" ns3:_="">
    <xsd:import namespace="49d2ad20-602e-460a-8603-f82004d7a54e"/>
    <xsd:import namespace="d2a848b4-34f9-49f3-b198-e8c1ce4ba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ad20-602e-460a-8603-f82004d7a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a848b4-34f9-49f3-b198-e8c1ce4ba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99C6F-F894-4F0D-8C3D-22CAB1351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27114-6C03-4F9A-A79D-50FF126A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2ad20-602e-460a-8603-f82004d7a54e"/>
    <ds:schemaRef ds:uri="d2a848b4-34f9-49f3-b198-e8c1ce4ba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AA153-B851-4011-8C61-4F7B7C89B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Borough Healthwatch CIC company number 11798868</dc:title>
  <dc:subject/>
  <dc:creator>Karen Parker</dc:creator>
  <cp:keywords/>
  <dc:description/>
  <cp:lastModifiedBy>Karen Parker</cp:lastModifiedBy>
  <cp:revision>3</cp:revision>
  <dcterms:created xsi:type="dcterms:W3CDTF">2021-05-18T14:36:00Z</dcterms:created>
  <dcterms:modified xsi:type="dcterms:W3CDTF">2021-08-27T13:27:00Z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0x0101000822E140D8B83C47B1BC821DB113DC17</vt:lpwstr>
  </property>
</Properties>
</file>